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tabs>
          <w:tab w:val="left" w:pos="826" w:leader="none"/>
        </w:tabs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2"/>
          <w:shd w:fill="FFFFFF" w:val="clear"/>
        </w:rPr>
        <w:t>Приложение к АООП для детей с НОДА  с применением ДО МБОУ «СОШ № 10 г. Горно-Алтайска»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7"/>
          <w:sz w:val="28"/>
          <w:szCs w:val="24"/>
          <w:shd w:fill="FFFFFF" w:val="clear"/>
        </w:rPr>
        <w:t>Рабочая программа составлена на основе примерной программы общеобразовательных учреждений по музыке для 8 класс (авторы Е.Д.Критской, Г.П.Сергеевой, Т.С. Шмагиной) УМК «Школа России». Музыка. 8 классы. Искусство 8-9 классы» – М. Просвещение, 2014г.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FFFFFF" w:val="clear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всего___34___,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Изучение курса «Музыка» в основной школе обеспечивает определенные результаты.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Личностные результаты отражаются в индивидуальных качественных свойствах учащихся, которые они должны приобрести в процессе освоения учебного предмета «Музыка»: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чувства гордости за свою Родину, российский народ и историю России, осознание своей этнической и национальной принадлежности; знания культуры своего народа, своего края, основ культурного наследия народов России и человечества; усвоение традиционных ценностей многонационального российского общества;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целостный, социально ориентированный взгляд на мир в его органичном единстве и разнообразии природы, народов, культур и религий;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эмоционально-нравственной отзывчивости, понимание чувств других людей и сопереживание им;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младшими в образовательной, общественно полезной, учебно-исследовательской, творческой и других видах деятельности;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участие в общественной жизни школы в пределах возрастных компетенций с учетом региональных и этнокультурных особенностей;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признание ценности жизни во всех ее проявлениях и необходимости ответственного, бережного отношения к окружающей среде;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принятие ценности семейной жизни, уважительное и заботливое отношение к членам своей семьи;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эстетические потребности, ценности чувств, эстетическое сознание как результат освоения художественного наследия народов России и мира, творческой деятельности музыкально-эстетического характера.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развитое эстетическое чувство, проявляющее себя в эмоционально- ценностном отношении к искусству и жизни;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 </w:t>
      </w:r>
      <w:r>
        <w:rPr>
          <w:rFonts w:ascii="Times New Roman" w:hAnsi="Times New Roman"/>
          <w:color w:val="000007"/>
          <w:sz w:val="28"/>
          <w:szCs w:val="28"/>
        </w:rPr>
        <w:t xml:space="preserve">Реализация творческого потенциала в процессе коллективной (или индивидуальной) художественно-эстетической деятельности при воплощении (создании) художественных образов;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Оценка и самооценка художественно-творческих возможностей; умение вести диалог, аргументировать свою позицию.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Метапредметные результаты характеризуют уровень сформированности универсальных учебных действий, проявляющихся в познавательной и практической деятельности учащихся: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ставить новые учебные задачи на основе развития познавательных мотивов и интересов;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планировать пути достижения целей, осознанно выбирать наиболее эффективные способы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выполнение учебной задачи и собственные возможности ее решения, вносить необходимые коррективы для достижения запланированных результатов;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владение основами самоконтроля, самооценки, принятие решений и осуществления осознанного выбора в учебной и познавательной деятельности;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смысловые чтение текстов различных стилей и жанров;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создавать, применять и преобразовывать знаки и символы модели и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схемы для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взаимодействовать и работать в группе;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технологий;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сравнение, анализ, обобщение, установление связей и отношений между явлениями культуры;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работа с разными источниками информации,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культурно-познавательная, коммуникативная и социально-эстетическая компетентности.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Предметные результаты обеспечивают успешное обучение на следующей ступени общего образования и отражают: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основ музыкальной культуры школьника как неотъемлемой части его общей духовной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потребности в общении с музыкой для дальнейшего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развитие общих музыкальных способностей школьников (музыкальной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мотивационной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произведений, импровизация, музыкально-пластическое движение и др.);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воспитание эстетического отношения к миру, критического восприятия музыкальной информации, развитие творческих способностей в многообразных видах музыкальной деятельности, связанной с театром, кино, литературой, живописью;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устойчивого интереса к музыке своего народа и других народов мира, классическому и современному музыкальному наследию;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овладение основами музыкальной грамотности: способностью эмоционально воспринимать музыку как живое образное искусство во взаимосвязи с жизнью, со специальной терминологией и ключевыми понятиями музыкального искусства, элементарной нотной грамотой в рамках изучаемого курса;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приобретение устойчивых навыков самостоятельной, целенаправленной и содержательной музыкально-учебной деятельности, включая информационно- коммуникационные технологии;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освоение/присвоение художественных произведений как духовного опыта поколений; понимание значимости искусства, его места и роли в жизни человека; уважение культуры другого народа;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знание основных закономерностей искусства; усвоение специфики художественного образа, особенностей средств художественной выразительности, языка разных видов искусства; </w:t>
      </w:r>
    </w:p>
    <w:p>
      <w:pPr>
        <w:pStyle w:val="Style21"/>
        <w:numPr>
          <w:ilvl w:val="0"/>
          <w:numId w:val="4"/>
        </w:numPr>
        <w:shd w:val="clear" w:fill="FFFFFF"/>
        <w:tabs>
          <w:tab w:val="left" w:pos="0" w:leader="none"/>
        </w:tabs>
        <w:spacing w:lineRule="atLeast" w:line="294" w:before="0" w:after="0"/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устойчивый интерес к различным видам учебно-творческой деятельности, художественным традициям своего народа и достижениям мировой культуры.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4"/>
                <w:lang w:eastAsia="en-US"/>
              </w:rPr>
              <w:t>Жанровое многообразие музыки.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 xml:space="preserve">Музыкальный стиль камерной эпохи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30"/>
              <w:spacing w:lineRule="auto" w:line="240" w:before="0" w:after="283"/>
              <w:jc w:val="left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>Музыкальный стиль камерной эпохи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Style21"/>
        <w:rPr/>
      </w:pPr>
      <w:r>
        <w:rPr>
          <w:rFonts w:ascii="TimesNewRomanPSMT" w:hAnsi="TimesNewRomanPSMT"/>
          <w:sz w:val="28"/>
        </w:rPr>
        <w:t xml:space="preserve">Составлена на основе: </w:t>
      </w:r>
      <w:r>
        <w:rPr>
          <w:rFonts w:ascii="TimesNewRomanPSMT" w:hAnsi="TimesNewRomanPSMT"/>
          <w:color w:val="000007"/>
          <w:sz w:val="28"/>
        </w:rPr>
        <w:t xml:space="preserve">Музыка. 8 класс: учебник для общеобразовательных учреждений/Г.П. Сергеева, Е.Д. Критская </w:t>
      </w:r>
      <w:r>
        <w:rPr>
          <w:color w:val="000007"/>
        </w:rPr>
        <w:t xml:space="preserve">– </w:t>
      </w:r>
      <w:r>
        <w:rPr>
          <w:rFonts w:ascii="TimesNewRomanPSMT" w:hAnsi="TimesNewRomanPSMT"/>
          <w:color w:val="000007"/>
          <w:sz w:val="28"/>
        </w:rPr>
        <w:t xml:space="preserve">М.: Просвещение, 2014; </w:t>
        <w:br/>
        <w:t xml:space="preserve">Общее количество часов на предмет по учебному плану 35часов,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>Из них на:</w:t>
        <w:br/>
        <w:t xml:space="preserve">I четверть 8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 четверть 9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III четверть 10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IV четверть 7 часов </w:t>
      </w:r>
    </w:p>
    <w:p>
      <w:pPr>
        <w:pStyle w:val="Style21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 xml:space="preserve">По 1 часа в неделю. Всего учебных недель 34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686" w:type="dxa"/>
        <w:jc w:val="left"/>
        <w:tblInd w:w="-421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8"/>
        <w:gridCol w:w="1983"/>
        <w:gridCol w:w="1554"/>
        <w:gridCol w:w="6631"/>
      </w:tblGrid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/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</w:rPr>
              <w:t>Раздел.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>Тема.</w:t>
            </w:r>
          </w:p>
        </w:tc>
      </w:tr>
      <w:tr>
        <w:trPr/>
        <w:tc>
          <w:tcPr>
            <w:tcW w:w="5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>тема I полугодия: «КЛАССИКА И СОВРЕМЕННОСТЬ»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Классика в нашей жизни.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Опера. Музыкальная драматургия оперы.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FontStyle43"/>
                <w:lang w:eastAsia="ru-RU"/>
              </w:rPr>
              <w:t xml:space="preserve">Опера А.П.Бородина «Князь Игорь».Русская эпическая опера. 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Балет.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Тищенко «Ярославна»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 музыкальном театре. Мюзикл. Рок-опера. 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Рок-опера «Преступление и наказание».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Мюзикл «Ромео и Джульетта».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Э.Григ.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А. Шнитке.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 в кино. Музыка немого кино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кино. Музыка к кинофильму «Властелин колец».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Симфония: прошлое и настоящее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Музыка-это огромный мир, окружающий человека. Защита проекта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Обобщающий урок</w:t>
            </w:r>
          </w:p>
        </w:tc>
      </w:tr>
      <w:tr>
        <w:trPr/>
        <w:tc>
          <w:tcPr>
            <w:tcW w:w="51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тема II полугодия: «ТРАДИЦИИ И НОВАТОРСТВО В МУЗЫКЕ»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Музыканты – извечные маги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И снова в музыкальном театре. «Мой народ – американцы…»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Елена Образцова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«Кармен – сюита», новое прочтение оперы Бизе.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Балет «Кармен – сюита», новое прочтение оперы Бизе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>
        <w:trPr>
          <w:trHeight w:val="731" w:hRule="atLeast"/>
        </w:trPr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>
        <w:trPr>
          <w:trHeight w:val="417" w:hRule="atLeast"/>
        </w:trPr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Великие мюзиклы мира. Презентация проекта. «Юнона и Авось». 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 xml:space="preserve">Великие мюзиклы мира. Презентация проекта. «Кошки». 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Великие мюзиклы мира. Презентация проекта. «Призрак оперы».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храмовом синтезе искусств.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Неизвестный Г.Свиридов. «О Росси петь – что стремится в храм…» 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 xml:space="preserve">Музыкальное завещание потомкам. </w:t>
            </w:r>
          </w:p>
        </w:tc>
      </w:tr>
      <w:tr>
        <w:trPr/>
        <w:tc>
          <w:tcPr>
            <w:tcW w:w="51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55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3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>Защита проектов</w:t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Application>LibreOffice/5.0.2.2$MacOSX_X86_64 LibreOffice_project/37b43f919e4de5eeaca9b9755ed688758a8251fe</Application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2020-11-18T10:12:53Z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